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72F8E" w:rsidRDefault="0094625A" w:rsidP="00B72F8E">
      <w:pPr>
        <w:jc w:val="both"/>
        <w:rPr>
          <w:rFonts w:ascii="Times New Roman" w:hAnsi="Times New Roman" w:cs="Times New Roman"/>
          <w:sz w:val="28"/>
          <w:szCs w:val="28"/>
        </w:rPr>
      </w:pPr>
      <w:r w:rsidRPr="00B72F8E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B72F8E">
        <w:rPr>
          <w:rFonts w:ascii="Times New Roman" w:hAnsi="Times New Roman" w:cs="Times New Roman"/>
          <w:sz w:val="28"/>
          <w:szCs w:val="28"/>
        </w:rPr>
        <w:t xml:space="preserve"> </w:t>
      </w:r>
      <w:r w:rsidR="00822DA6" w:rsidRPr="00B72F8E"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</w:t>
      </w:r>
    </w:p>
    <w:p w:rsidR="000F6680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Готує та забезпечує здійснення заходів щодо запобігання корупції. Надає методичну та консультаційну допомогу з питань дотримання вимог антикорупційного законодавства. У разі залучення проводить експертизу проектів нормативно-правових актів, організаційно-розпорядчих документів, що видаються Головним управлінням, з  метою виявлення причин, що призводять чи можуть призвести до вчинення корупційних або пов’язаних з корупцією правопорушень та внутрішнього аудиту Головного управління в частині дотримання вимог антикорупційного законодавства. Приймає участь в інформаційному та науково-дослідному забезпеченні здійснення заходів щодо запобігання та виявлення корупції, а також міжнародному співробітництві в зазначеній сфері.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Надає допомогу в заповненні декларації особи, уповноваженої на виконання функцій держави або місцевого самоврядування. Проводить перевірку факту подання суб’єктами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«Про запобігання корупції» (далі – Закон). Здійснює контроль за дотриманням вимог законодавства щодо врегулювання конфлікту інтересів та за дотриманням антикорупційного законодавства. Надає іншим структурним підрозділам Головного управління та його окремим працівникам роз’яснення щодо застосування антикорупційного законодавства.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Розробляє та проводить заходи щодо запобігання корупційним правопорушенням, а також здійснює контроль за їх проведенням. Співпрацює з викривачами, забезпечує дотримання їхніх прав та гарантій захисту, передбачених Законом.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Вживає заходів до виявлення конфлікту інтересів та сприяє його усуненню, контролює дотримання вимог законодавства щодо врегулювання конфлікту інтересів, а також виявляє сприятливі для вчинення корупційних правопорушень ризики в діяльності посадових і службових осіб Головного управління, вносить начальнику Головного управління пропозиції щодо усунення таких ризиків. У разі виявлення фактів, що можуть свідчити про вчинення корупційних або пов’язаних з корупцією правопорушень посадовими чи службовими особами Головного управління, інформує в установленому порядку про такі факти начальника Головного управління, а також правоохоронні органи відповідно до їх компетенції.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Взаємодіє з підрозділами з питань запобігання та виявлення корупції державних органів, органів влади Автономної Республіки Крим, органів місцевого самоврядування, підприємств, установ та організацій, спеціально уповноваженими суб’єктами у сфері протидії корупції. Повідомляє у письмовій формі начальнику Головного управління, посадовій особі Секретаріату Кабінету Міністрів України, визначеній Міністром Кабінету Міністрів України, та спеціально уповноваженим суб’єктам у сфері протидії корупції про факти, що можуть свідчити про вчинення корупційних або пов’язаних з корупцією правопорушень посадовими особами Головного </w:t>
      </w:r>
      <w:proofErr w:type="spellStart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>управління.Розглядає</w:t>
      </w:r>
      <w:proofErr w:type="spellEnd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 в межах повноважень повідомлення щодо причетності працівників Головного управління до вчинення корупційних правопорушень. Веде облік працівників Головного управління, притягнутих до відповідальності за вчинення корупційних </w:t>
      </w:r>
      <w:proofErr w:type="spellStart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>правопорушень.Проводить</w:t>
      </w:r>
      <w:proofErr w:type="spellEnd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 або бере участь у проведенні в установленому порядку службового розслідування (перевірки) в Головному управлінні з метою виявлення причин та умов, що призвели до вчинення корупційного або пов’язаного з корупцією правопорушення чи невиконання вимог антикорупційного законодавства.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E42199">
        <w:rPr>
          <w:rFonts w:ascii="Times New Roman" w:hAnsi="Times New Roman" w:cs="Times New Roman"/>
          <w:sz w:val="28"/>
          <w:szCs w:val="28"/>
        </w:rPr>
        <w:t xml:space="preserve"> у галузі знань „Право” та „Управління та адміністрування”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199" w:rsidRPr="00E42199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E42199">
        <w:rPr>
          <w:rFonts w:ascii="Times New Roman" w:hAnsi="Times New Roman"/>
          <w:sz w:val="28"/>
          <w:szCs w:val="28"/>
        </w:rPr>
        <w:t>з</w:t>
      </w:r>
      <w:r w:rsidR="000F6680" w:rsidRPr="000F6680">
        <w:rPr>
          <w:rFonts w:ascii="Times New Roman" w:hAnsi="Times New Roman"/>
          <w:sz w:val="28"/>
          <w:szCs w:val="28"/>
        </w:rPr>
        <w:t xml:space="preserve">нання законодавства та нормативно-правових актів, </w:t>
      </w:r>
      <w:r w:rsidR="00E42199" w:rsidRPr="00E42199">
        <w:rPr>
          <w:rFonts w:ascii="Times New Roman" w:hAnsi="Times New Roman"/>
          <w:sz w:val="28"/>
          <w:szCs w:val="28"/>
        </w:rPr>
        <w:t>які</w:t>
      </w:r>
      <w:r w:rsidR="00E42199" w:rsidRPr="00E42199">
        <w:rPr>
          <w:rFonts w:ascii="Times New Roman" w:eastAsia="Calibri" w:hAnsi="Times New Roman" w:cs="Times New Roman"/>
          <w:sz w:val="28"/>
          <w:szCs w:val="28"/>
        </w:rPr>
        <w:t xml:space="preserve"> необхідні для здійснення заходів щодо запобігання та виявлення корупції.</w:t>
      </w:r>
    </w:p>
    <w:p w:rsidR="00DF5C4C" w:rsidRPr="00DF5C4C" w:rsidRDefault="00E42199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364A28">
        <w:rPr>
          <w:rFonts w:ascii="Times New Roman" w:hAnsi="Times New Roman" w:cs="Times New Roman"/>
          <w:sz w:val="28"/>
          <w:szCs w:val="28"/>
        </w:rPr>
        <w:t>11 855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048DD" w:rsidRPr="00520681" w:rsidRDefault="00365517" w:rsidP="006048DD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6048DD" w:rsidRPr="006048DD">
        <w:rPr>
          <w:rFonts w:ascii="Times New Roman" w:hAnsi="Times New Roman" w:cs="Times New Roman"/>
          <w:sz w:val="28"/>
          <w:szCs w:val="28"/>
        </w:rPr>
        <w:t xml:space="preserve"> </w:t>
      </w:r>
      <w:r w:rsidR="006048DD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364A28">
        <w:rPr>
          <w:rFonts w:ascii="Times New Roman" w:hAnsi="Times New Roman" w:cs="Times New Roman"/>
          <w:b/>
          <w:sz w:val="28"/>
          <w:szCs w:val="28"/>
        </w:rPr>
        <w:t>30</w:t>
      </w:r>
      <w:r w:rsidR="006048DD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364A28">
        <w:rPr>
          <w:rFonts w:ascii="Times New Roman" w:hAnsi="Times New Roman" w:cs="Times New Roman"/>
          <w:b/>
          <w:sz w:val="28"/>
          <w:szCs w:val="28"/>
        </w:rPr>
        <w:t>0</w:t>
      </w:r>
      <w:r w:rsidR="0041462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6048DD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FF5651">
        <w:rPr>
          <w:rFonts w:ascii="Times New Roman" w:hAnsi="Times New Roman" w:cs="Times New Roman"/>
          <w:b/>
          <w:sz w:val="28"/>
          <w:szCs w:val="28"/>
        </w:rPr>
        <w:t>5</w:t>
      </w:r>
      <w:r w:rsidR="006048DD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048DD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2843B8"/>
    <w:rsid w:val="00364A28"/>
    <w:rsid w:val="00365517"/>
    <w:rsid w:val="003C1CEF"/>
    <w:rsid w:val="00414627"/>
    <w:rsid w:val="004216B2"/>
    <w:rsid w:val="004457BA"/>
    <w:rsid w:val="006048DD"/>
    <w:rsid w:val="00695CB1"/>
    <w:rsid w:val="006B5FAF"/>
    <w:rsid w:val="0073328D"/>
    <w:rsid w:val="00822DA6"/>
    <w:rsid w:val="0084740A"/>
    <w:rsid w:val="0094625A"/>
    <w:rsid w:val="00993AB7"/>
    <w:rsid w:val="00996592"/>
    <w:rsid w:val="00AE4E73"/>
    <w:rsid w:val="00B126E2"/>
    <w:rsid w:val="00B30C70"/>
    <w:rsid w:val="00B4449D"/>
    <w:rsid w:val="00B72F8E"/>
    <w:rsid w:val="00B93873"/>
    <w:rsid w:val="00D65F23"/>
    <w:rsid w:val="00DC42E8"/>
    <w:rsid w:val="00DF5C4C"/>
    <w:rsid w:val="00E42199"/>
    <w:rsid w:val="00F342E0"/>
    <w:rsid w:val="00FC4028"/>
    <w:rsid w:val="00FF565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4654"/>
  <w15:docId w15:val="{9AEAE633-7E24-4E94-B629-989373B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3219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2025-07-03T07:47:00Z</dcterms:created>
  <dcterms:modified xsi:type="dcterms:W3CDTF">2025-09-09T10:28:00Z</dcterms:modified>
</cp:coreProperties>
</file>