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D7BB1">
        <w:rPr>
          <w:rFonts w:ascii="Times New Roman" w:hAnsi="Times New Roman" w:cs="Times New Roman"/>
          <w:sz w:val="28"/>
          <w:szCs w:val="28"/>
          <w:u w:val="single"/>
        </w:rPr>
        <w:t xml:space="preserve">завідувача сектору 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>оцінювання та професійного розвитку відділу управління персоналом</w:t>
      </w:r>
    </w:p>
    <w:p w:rsidR="005D7BB1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9961"/>
      </w:tblGrid>
      <w:tr w:rsidR="00401500" w:rsidRPr="00E27DE1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Здійснює заходи щодо організації оцінювання результатів службової діяльності державних службовців, узагальнює результати виконання завдань державними службовцями, надає консультативну допомогу з питань проведення оцінювання</w:t>
            </w:r>
          </w:p>
        </w:tc>
      </w:tr>
      <w:tr w:rsidR="00401500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Здійснює заходи щодо організації та координації процедури адаптації новопризначених державних службовців у Головному управлінні з урахуванням рекомендацій, затверджених центральним органом виконавчої влади, що забезпечує формування та реалізує державну політику у сфері державної служби;</w:t>
            </w:r>
          </w:p>
        </w:tc>
      </w:tr>
      <w:tr w:rsidR="00401500" w:rsidTr="00401500"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Організовує роботу щодо стажування державних службовців та молоді.</w:t>
            </w:r>
          </w:p>
        </w:tc>
      </w:tr>
      <w:tr w:rsidR="00401500" w:rsidRPr="006A09B8" w:rsidTr="00401500">
        <w:trPr>
          <w:trHeight w:val="388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Організовує роботу щодо: 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складання разом з державними службовцями Головного управління індивідуальних програми підвищення рівня професійної компетентності/індивідуальних програми професійного розвитку таких державних службовців; вивчення та узагальнення потреб державних службовців у професійному навчанні;.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моніторингу існуючих програм підвищення кваліфікації, що пропонуються суб'єктами надання освітніх послуг у сфері професійного навчання (провайдерами), зокрема на </w:t>
            </w:r>
            <w:proofErr w:type="spellStart"/>
            <w:r w:rsidRPr="00401500">
              <w:rPr>
                <w:sz w:val="28"/>
                <w:szCs w:val="28"/>
                <w:lang w:val="uk-UA"/>
              </w:rPr>
              <w:t>вебпорталі</w:t>
            </w:r>
            <w:proofErr w:type="spellEnd"/>
            <w:r w:rsidRPr="00401500">
              <w:rPr>
                <w:sz w:val="28"/>
                <w:szCs w:val="28"/>
                <w:lang w:val="uk-UA"/>
              </w:rPr>
              <w:t xml:space="preserve"> управління знаннями у сфері професійного навчання “Портал управління знаннями”, та інформує про можливість навчання за такими програми персонал державного органу;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нарахування та обліку кредитів Європейської кредитної трансферно-накопичувальної системи за проходження професійного навчання; проведення за рішенням начальника Головного управління оцінювання результативності професійного навчання державних службовців відповідно до законодавства;</w:t>
            </w:r>
          </w:p>
          <w:p w:rsidR="00401500" w:rsidRPr="00401500" w:rsidRDefault="00401500" w:rsidP="00401500">
            <w:pPr>
              <w:pStyle w:val="rvps2"/>
              <w:shd w:val="clear" w:color="auto" w:fill="FFFFFF"/>
              <w:spacing w:before="0" w:beforeAutospacing="0" w:after="0" w:afterAutospacing="0"/>
              <w:ind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пов'язану з заповненням особових справ (особових карток) працівників Головного управління.</w:t>
            </w:r>
          </w:p>
        </w:tc>
      </w:tr>
      <w:tr w:rsidR="00401500" w:rsidRPr="006A09B8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За дорученням начальника відділу здійснює контроль за дотриманням вимог законодавства про працю та державну службу в Головному управлінні, зокрема контролює дотримання правил внутрішнього службового розпорядку</w:t>
            </w:r>
          </w:p>
        </w:tc>
      </w:tr>
      <w:tr w:rsidR="00401500" w:rsidRPr="00EA6C9E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 xml:space="preserve">Розглядає звернення громадян, підприємств, установ та організацій, посадових осіб, запити та звернення народних депутатів, запити на інформацію з питань управління персоналом. </w:t>
            </w:r>
          </w:p>
        </w:tc>
      </w:tr>
      <w:tr w:rsidR="00401500" w:rsidRPr="00EA6C9E" w:rsidTr="00401500">
        <w:trPr>
          <w:trHeight w:val="185"/>
        </w:trPr>
        <w:tc>
          <w:tcPr>
            <w:tcW w:w="4831" w:type="pct"/>
          </w:tcPr>
          <w:p w:rsidR="00401500" w:rsidRPr="00401500" w:rsidRDefault="00401500" w:rsidP="00401500">
            <w:pPr>
              <w:pStyle w:val="rvps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49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01500">
              <w:rPr>
                <w:sz w:val="28"/>
                <w:szCs w:val="28"/>
                <w:lang w:val="uk-UA"/>
              </w:rPr>
              <w:t>Проводить іншу роботу, пов’язану із застосуванням законодавства про працю та державну службу.</w:t>
            </w:r>
          </w:p>
        </w:tc>
      </w:tr>
    </w:tbl>
    <w:p w:rsidR="00B93873" w:rsidRPr="005D7BB1" w:rsidRDefault="00B93873" w:rsidP="00365517">
      <w:pPr>
        <w:rPr>
          <w:rFonts w:ascii="Times New Roman" w:hAnsi="Times New Roman" w:cs="Times New Roman"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lastRenderedPageBreak/>
        <w:t xml:space="preserve">-вища освіта за освітнім ступенем не нижче </w:t>
      </w:r>
      <w:r w:rsidR="00AB10AA" w:rsidRPr="00401500">
        <w:rPr>
          <w:rFonts w:ascii="Times New Roman" w:hAnsi="Times New Roman" w:cs="Times New Roman"/>
          <w:sz w:val="28"/>
          <w:szCs w:val="28"/>
        </w:rPr>
        <w:t>магістра</w:t>
      </w:r>
      <w:r w:rsidR="00401500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01500" w:rsidRPr="00401500">
        <w:rPr>
          <w:rFonts w:ascii="Times New Roman" w:eastAsia="Calibri" w:hAnsi="Times New Roman" w:cs="Times New Roman"/>
          <w:sz w:val="28"/>
          <w:szCs w:val="28"/>
        </w:rPr>
        <w:t>у галузі знань: “Право”, “Управління та адміністрування”, “Соціальні та поведінкові науки”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401500">
        <w:rPr>
          <w:rFonts w:ascii="Times New Roman" w:hAnsi="Times New Roman" w:cs="Times New Roman"/>
          <w:sz w:val="28"/>
          <w:szCs w:val="28"/>
        </w:rPr>
        <w:t>13366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D61010" w:rsidRDefault="00D61010" w:rsidP="00D6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473E2B">
        <w:rPr>
          <w:rFonts w:ascii="Times New Roman" w:hAnsi="Times New Roman" w:cs="Times New Roman"/>
          <w:b/>
          <w:sz w:val="28"/>
          <w:szCs w:val="28"/>
        </w:rPr>
        <w:t>3</w:t>
      </w:r>
      <w:r w:rsidR="00F570B0">
        <w:rPr>
          <w:rFonts w:ascii="Times New Roman" w:hAnsi="Times New Roman" w:cs="Times New Roman"/>
          <w:b/>
          <w:sz w:val="28"/>
          <w:szCs w:val="28"/>
        </w:rPr>
        <w:t>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F570B0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775ECF">
        <w:rPr>
          <w:rFonts w:ascii="Times New Roman" w:hAnsi="Times New Roman" w:cs="Times New Roman"/>
          <w:b/>
          <w:sz w:val="28"/>
          <w:szCs w:val="28"/>
        </w:rPr>
        <w:t>6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1842D7"/>
    <w:rsid w:val="001D4598"/>
    <w:rsid w:val="00344F50"/>
    <w:rsid w:val="00365517"/>
    <w:rsid w:val="003C1CEF"/>
    <w:rsid w:val="00401500"/>
    <w:rsid w:val="00473E2B"/>
    <w:rsid w:val="005756F1"/>
    <w:rsid w:val="005D7BB1"/>
    <w:rsid w:val="00683002"/>
    <w:rsid w:val="006B5FAF"/>
    <w:rsid w:val="0073328D"/>
    <w:rsid w:val="00775ECF"/>
    <w:rsid w:val="007F041B"/>
    <w:rsid w:val="007F3BDB"/>
    <w:rsid w:val="0084740A"/>
    <w:rsid w:val="0094625A"/>
    <w:rsid w:val="00AB10AA"/>
    <w:rsid w:val="00B126E2"/>
    <w:rsid w:val="00B30C70"/>
    <w:rsid w:val="00B93873"/>
    <w:rsid w:val="00C85243"/>
    <w:rsid w:val="00D61010"/>
    <w:rsid w:val="00D65F23"/>
    <w:rsid w:val="00DC42E8"/>
    <w:rsid w:val="00DF101F"/>
    <w:rsid w:val="00F342E0"/>
    <w:rsid w:val="00F570B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61AC-50B4-489C-8BD5-3CC5A8E5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2026-01-08T11:40:00Z</dcterms:created>
  <dcterms:modified xsi:type="dcterms:W3CDTF">2026-01-08T11:40:00Z</dcterms:modified>
</cp:coreProperties>
</file>