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EC2E7C" w:rsidRDefault="0094625A" w:rsidP="00EC2E7C">
      <w:pPr>
        <w:jc w:val="both"/>
        <w:rPr>
          <w:rFonts w:ascii="Times New Roman" w:hAnsi="Times New Roman" w:cs="Times New Roman"/>
          <w:sz w:val="28"/>
          <w:szCs w:val="28"/>
        </w:rPr>
      </w:pPr>
      <w:r w:rsidRPr="00EC2E7C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головного </w:t>
      </w:r>
      <w:r w:rsidR="00EC2E7C">
        <w:rPr>
          <w:rFonts w:ascii="Times New Roman" w:hAnsi="Times New Roman" w:cs="Times New Roman"/>
          <w:sz w:val="28"/>
          <w:szCs w:val="28"/>
        </w:rPr>
        <w:t>спеціаліста внутрішнього аудиту</w:t>
      </w:r>
      <w:bookmarkStart w:id="0" w:name="_GoBack"/>
      <w:bookmarkEnd w:id="0"/>
    </w:p>
    <w:p w:rsidR="00365517" w:rsidRPr="00DC42E8" w:rsidRDefault="00365517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</w:p>
    <w:p w:rsidR="00365517" w:rsidRPr="00DC42E8" w:rsidRDefault="00365517" w:rsidP="00DC42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Проведення оцінки щодо: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ефективності функціонування системи внутрішнього контролю у Головному управлінні;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ступеня виконання і досягнення цілей, визначених у стратегічних та річних планах;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ефективності планування і виконання бюджетних програм та результатів їх виконання, управління бюджетними коштами;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якості надання адміністративних послуг та виконання контрольно-наглядових функцій, завдань, визначених актами законодавства;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використання і збереження активів;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надійності, ефективності та результативності інформаційних систем і технологій;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управління державним майном;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правильності ведення бухгалтерського обліку та достовірності фінансової і бюджетної звітності;</w:t>
      </w:r>
    </w:p>
    <w:p w:rsidR="00365517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ризиків, які негативно впливають на виконання функцій і завдань Головного управління.</w:t>
      </w:r>
    </w:p>
    <w:p w:rsidR="00365517" w:rsidRPr="00DC42E8" w:rsidRDefault="00365517" w:rsidP="00DC42E8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Планування, організація та здійснення внутрішніх аудитів (приймає участь у комплексних внутрішніх аудитах за ініціативою Держгеокадастру), документування їх результатів, підготовка аудиторських звітів (довідок), висновків та рекомендацій, а також проведення моніторинг </w:t>
      </w:r>
      <w:proofErr w:type="spellStart"/>
      <w:r w:rsidRPr="00DC42E8">
        <w:rPr>
          <w:rFonts w:ascii="Times New Roman" w:hAnsi="Times New Roman" w:cs="Times New Roman"/>
          <w:sz w:val="28"/>
          <w:szCs w:val="28"/>
        </w:rPr>
        <w:t>уврахування</w:t>
      </w:r>
      <w:proofErr w:type="spellEnd"/>
      <w:r w:rsidRPr="00DC42E8">
        <w:rPr>
          <w:rFonts w:ascii="Times New Roman" w:hAnsi="Times New Roman" w:cs="Times New Roman"/>
          <w:sz w:val="28"/>
          <w:szCs w:val="28"/>
        </w:rPr>
        <w:t xml:space="preserve"> рекомендацій.</w:t>
      </w:r>
    </w:p>
    <w:p w:rsidR="00365517" w:rsidRPr="00DC42E8" w:rsidRDefault="00365517" w:rsidP="00DC42E8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Формувати стратегічний та операційний плани діяльності з внутрішнього аудиту на підставі оцінки ризиків діяльності Головного управління, а також з урахуванням резерву робочого часу на здійснення позапланових внутрішніх аудитів; складати та вести базу даних, яка містить дані щодо об'єктів внутрішнього аудиту.</w:t>
      </w:r>
    </w:p>
    <w:p w:rsidR="00365517" w:rsidRPr="00DC42E8" w:rsidRDefault="00365517" w:rsidP="00DC42E8">
      <w:pPr>
        <w:pStyle w:val="a4"/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Здійснення:</w:t>
      </w:r>
    </w:p>
    <w:p w:rsidR="00365517" w:rsidRPr="00DC42E8" w:rsidRDefault="00365517" w:rsidP="00DC42E8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планові (приймати участь у комплексних внутрішніх аудитах за ініціативою Держгеокадастру) та позапланові внутрішні аудити на об'єктах внутрішнього аудиту; </w:t>
      </w:r>
    </w:p>
    <w:p w:rsidR="00365517" w:rsidRPr="00DC42E8" w:rsidRDefault="00365517" w:rsidP="00DC42E8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>моніторинг результатів впровадження аудиторських рекомендацій, а також заходів щодо усунення виявлених іншими державними органами порушень та недоліків, установлених за результатами оцінки функціонування системи внутрішнього аудиту.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 у галузі економіки та/або права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C42E8">
        <w:rPr>
          <w:rFonts w:ascii="Times New Roman" w:hAnsi="Times New Roman" w:cs="Times New Roman"/>
          <w:sz w:val="28"/>
          <w:szCs w:val="28"/>
        </w:rPr>
        <w:t>нання законодавства з питань фінансово-господарської діяльності, бухгалтерського обліку, складання фінансової звітності. Уміння оцінювати можливі ризики виникнення фінансових порушень.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511709">
        <w:rPr>
          <w:rFonts w:ascii="Times New Roman" w:hAnsi="Times New Roman" w:cs="Times New Roman"/>
          <w:sz w:val="28"/>
          <w:szCs w:val="28"/>
        </w:rPr>
        <w:t>13633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документів, та строк їх подання:</w:t>
      </w:r>
    </w:p>
    <w:p w:rsidR="00365517" w:rsidRPr="00DC42E8" w:rsidRDefault="00365517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1) копію паспорта громадянина України;</w:t>
      </w:r>
    </w:p>
    <w:p w:rsidR="00365517" w:rsidRPr="00DC42E8" w:rsidRDefault="00DC42E8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2) </w:t>
      </w:r>
      <w:r w:rsidR="00365517" w:rsidRPr="00DC42E8">
        <w:rPr>
          <w:rFonts w:ascii="Times New Roman" w:hAnsi="Times New Roman" w:cs="Times New Roman"/>
          <w:sz w:val="28"/>
          <w:szCs w:val="28"/>
        </w:rPr>
        <w:t>резюме у довільній формі;</w:t>
      </w:r>
    </w:p>
    <w:p w:rsidR="00365517" w:rsidRPr="00DC42E8" w:rsidRDefault="00DC42E8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>3</w:t>
      </w:r>
      <w:r w:rsidR="00365517" w:rsidRPr="00DC42E8">
        <w:rPr>
          <w:rFonts w:ascii="Times New Roman" w:hAnsi="Times New Roman" w:cs="Times New Roman"/>
          <w:sz w:val="28"/>
          <w:szCs w:val="28"/>
        </w:rPr>
        <w:t>) копію (копії) документа (документі</w:t>
      </w:r>
      <w:r w:rsidRPr="00DC42E8">
        <w:rPr>
          <w:rFonts w:ascii="Times New Roman" w:hAnsi="Times New Roman" w:cs="Times New Roman"/>
          <w:sz w:val="28"/>
          <w:szCs w:val="28"/>
        </w:rPr>
        <w:t>в) про освіту.</w:t>
      </w:r>
    </w:p>
    <w:p w:rsidR="00DC42E8" w:rsidRPr="00DC42E8" w:rsidRDefault="00365517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 xml:space="preserve">ься на електрону адресу: </w:t>
      </w:r>
      <w:hyperlink r:id="rId5" w:history="1">
        <w:r w:rsidR="00511709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DC42E8" w:rsidRPr="00DC42E8">
        <w:rPr>
          <w:rFonts w:ascii="Times New Roman" w:hAnsi="Times New Roman" w:cs="Times New Roman"/>
          <w:sz w:val="28"/>
          <w:szCs w:val="28"/>
        </w:rPr>
        <w:t>. 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06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600ED"/>
    <w:rsid w:val="00365517"/>
    <w:rsid w:val="003C1CEF"/>
    <w:rsid w:val="00511709"/>
    <w:rsid w:val="006B5FAF"/>
    <w:rsid w:val="0073328D"/>
    <w:rsid w:val="0094625A"/>
    <w:rsid w:val="00B126E2"/>
    <w:rsid w:val="00B30C70"/>
    <w:rsid w:val="00DC42E8"/>
    <w:rsid w:val="00EC2E7C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3A2F"/>
  <w15:docId w15:val="{63C1A1B8-26B6-4248-BDA9-A23767E5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2025-07-03T07:51:00Z</dcterms:created>
  <dcterms:modified xsi:type="dcterms:W3CDTF">2025-07-03T07:51:00Z</dcterms:modified>
</cp:coreProperties>
</file>