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BC6B3E">
        <w:rPr>
          <w:rFonts w:ascii="Times New Roman" w:hAnsi="Times New Roman" w:cs="Times New Roman"/>
          <w:sz w:val="28"/>
          <w:szCs w:val="28"/>
          <w:u w:val="single"/>
        </w:rPr>
        <w:t xml:space="preserve">заступника начальника управління - </w:t>
      </w:r>
      <w:r w:rsidR="001B64A2">
        <w:rPr>
          <w:rFonts w:ascii="Times New Roman" w:hAnsi="Times New Roman" w:cs="Times New Roman"/>
          <w:sz w:val="28"/>
          <w:szCs w:val="28"/>
          <w:u w:val="single"/>
        </w:rPr>
        <w:t>начальника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відділу </w:t>
      </w:r>
      <w:r w:rsidR="00BC6B3E">
        <w:rPr>
          <w:rFonts w:ascii="Times New Roman" w:hAnsi="Times New Roman" w:cs="Times New Roman"/>
          <w:sz w:val="28"/>
          <w:szCs w:val="28"/>
          <w:u w:val="single"/>
        </w:rPr>
        <w:t>державного контролю за додержанням земельного законодавства та оперативного реагування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 контролю за використанням та охороною земель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6B3E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BC6B3E" w:rsidRDefault="00BC6B3E" w:rsidP="00B94F99">
      <w:pPr>
        <w:pStyle w:val="a8"/>
        <w:jc w:val="both"/>
      </w:pPr>
    </w:p>
    <w:p w:rsidR="001B64A2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Здійснює керівництво роботою відділу державного контролю за додержанням земельного законодавства та оперативного реагування (надалі – Відділ), розподіляє обов’язки між його працівниками; забезпечує виконання функцій та завдань, покладених на Відділ.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Надання заступнику начальника – начальнику управління з контролю за використанням та охороною земель Головного управління пропозиції щодо розроблення нормативно – технічних документів, державних стандартів, норм і правил у сфері земельних відносин в установленому законодавством порядку</w:t>
      </w:r>
    </w:p>
    <w:p w:rsidR="00BC6B3E" w:rsidRPr="00BC6B3E" w:rsidRDefault="00BC6B3E" w:rsidP="00BC6B3E">
      <w:pPr>
        <w:pStyle w:val="a9"/>
        <w:numPr>
          <w:ilvl w:val="0"/>
          <w:numId w:val="11"/>
        </w:numPr>
        <w:spacing w:line="240" w:lineRule="auto"/>
        <w:ind w:left="0" w:firstLine="426"/>
        <w:jc w:val="both"/>
        <w:textAlignment w:val="auto"/>
        <w:rPr>
          <w:sz w:val="28"/>
          <w:szCs w:val="28"/>
          <w:lang w:val="uk-UA"/>
        </w:rPr>
      </w:pPr>
      <w:r w:rsidRPr="00BC6B3E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lastRenderedPageBreak/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строків розгляду заяв чи клопотань щодо набуття і реалізацію прав на землю;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lastRenderedPageBreak/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Готує пропозиції щодо:</w:t>
      </w:r>
    </w:p>
    <w:p w:rsidR="00BC6B3E" w:rsidRPr="00BC6B3E" w:rsidRDefault="00BC6B3E" w:rsidP="00BC6B3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 xml:space="preserve"> подання позову про конфіскацію земельної ділянки у випадках, визначених законодавством;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</w:t>
      </w:r>
    </w:p>
    <w:p w:rsidR="00BC6B3E" w:rsidRPr="00BC6B3E" w:rsidRDefault="00BC6B3E" w:rsidP="00BC6B3E">
      <w:pPr>
        <w:pStyle w:val="a8"/>
        <w:ind w:firstLine="426"/>
        <w:jc w:val="both"/>
        <w:rPr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Здійснення інших повноважень передбачених положенням про Відділ.</w:t>
      </w:r>
    </w:p>
    <w:p w:rsidR="001B64A2" w:rsidRDefault="001B64A2" w:rsidP="00B94F99">
      <w:pPr>
        <w:pStyle w:val="a8"/>
        <w:jc w:val="both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1B64A2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Pr="001B64A2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не нижче магістра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E52CB1">
        <w:rPr>
          <w:rFonts w:ascii="Times New Roman" w:hAnsi="Times New Roman" w:cs="Times New Roman"/>
          <w:sz w:val="28"/>
          <w:szCs w:val="28"/>
        </w:rPr>
        <w:t>або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1B64A2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B64A2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B64A2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на посадах державної служби категорії “Б” чи “В” або досвідом служби в органах місцевого самоврядування, або досвідом роботи на керівних посадах підприємств, установ та організацій незалежно від форми власності не менше двох років</w:t>
      </w:r>
      <w:r w:rsidRPr="001B64A2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B64A2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B4449D" w:rsidRPr="001B64A2" w:rsidRDefault="00DC42E8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0F6680" w:rsidRPr="001B64A2">
        <w:rPr>
          <w:rFonts w:ascii="Times New Roman" w:hAnsi="Times New Roman" w:cs="Times New Roman"/>
          <w:sz w:val="28"/>
          <w:szCs w:val="28"/>
        </w:rPr>
        <w:t xml:space="preserve"> Знання законодавства та нормативно-правових актів, що регулюють </w:t>
      </w:r>
      <w:r w:rsidR="00C15204" w:rsidRPr="001B64A2">
        <w:rPr>
          <w:rFonts w:ascii="Times New Roman" w:hAnsi="Times New Roman" w:cs="Times New Roman"/>
          <w:sz w:val="28"/>
          <w:szCs w:val="28"/>
        </w:rPr>
        <w:t>напрям роботи</w:t>
      </w:r>
      <w:r w:rsidR="00DF5C4C" w:rsidRPr="001B64A2">
        <w:rPr>
          <w:rFonts w:ascii="Times New Roman" w:hAnsi="Times New Roman" w:cs="Times New Roman"/>
          <w:sz w:val="28"/>
          <w:szCs w:val="28"/>
        </w:rPr>
        <w:t>.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</w:t>
      </w:r>
      <w:r w:rsidR="00BC6B3E">
        <w:rPr>
          <w:rFonts w:ascii="Times New Roman" w:hAnsi="Times New Roman" w:cs="Times New Roman"/>
          <w:sz w:val="28"/>
          <w:szCs w:val="28"/>
        </w:rPr>
        <w:t>6 507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документ (документи) про освіту;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09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7F56E2">
        <w:rPr>
          <w:rFonts w:ascii="Times New Roman" w:hAnsi="Times New Roman" w:cs="Times New Roman"/>
          <w:b/>
          <w:sz w:val="28"/>
          <w:szCs w:val="28"/>
        </w:rPr>
        <w:t>4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21F"/>
    <w:multiLevelType w:val="hybridMultilevel"/>
    <w:tmpl w:val="4A249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8486A58"/>
    <w:multiLevelType w:val="hybridMultilevel"/>
    <w:tmpl w:val="210661B4"/>
    <w:lvl w:ilvl="0" w:tplc="A588E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065CA"/>
    <w:rsid w:val="00024AD8"/>
    <w:rsid w:val="00056B9C"/>
    <w:rsid w:val="0006338C"/>
    <w:rsid w:val="000F6680"/>
    <w:rsid w:val="001B64A2"/>
    <w:rsid w:val="001F15CA"/>
    <w:rsid w:val="00235A56"/>
    <w:rsid w:val="00365517"/>
    <w:rsid w:val="003C1CEF"/>
    <w:rsid w:val="003D6450"/>
    <w:rsid w:val="004457BA"/>
    <w:rsid w:val="00520B84"/>
    <w:rsid w:val="005550A5"/>
    <w:rsid w:val="0065677F"/>
    <w:rsid w:val="006B5FAF"/>
    <w:rsid w:val="0073328D"/>
    <w:rsid w:val="00743985"/>
    <w:rsid w:val="007F56E2"/>
    <w:rsid w:val="0084740A"/>
    <w:rsid w:val="0094625A"/>
    <w:rsid w:val="00993AB7"/>
    <w:rsid w:val="00996592"/>
    <w:rsid w:val="00AC1F3A"/>
    <w:rsid w:val="00B126E2"/>
    <w:rsid w:val="00B30C70"/>
    <w:rsid w:val="00B4449D"/>
    <w:rsid w:val="00B93873"/>
    <w:rsid w:val="00B94F99"/>
    <w:rsid w:val="00BC6B3E"/>
    <w:rsid w:val="00C07D3A"/>
    <w:rsid w:val="00C15204"/>
    <w:rsid w:val="00D32FB6"/>
    <w:rsid w:val="00D65F23"/>
    <w:rsid w:val="00DC42E8"/>
    <w:rsid w:val="00DF5C4C"/>
    <w:rsid w:val="00E52CB1"/>
    <w:rsid w:val="00E869C2"/>
    <w:rsid w:val="00F342E0"/>
    <w:rsid w:val="00F545A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C8F28-D5CF-4834-9ADB-309E4145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4932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2024-09-11T07:46:00Z</dcterms:created>
  <dcterms:modified xsi:type="dcterms:W3CDTF">2024-09-11T07:46:00Z</dcterms:modified>
</cp:coreProperties>
</file>