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0B84">
        <w:rPr>
          <w:rFonts w:ascii="Times New Roman" w:hAnsi="Times New Roman" w:cs="Times New Roman"/>
          <w:sz w:val="28"/>
          <w:szCs w:val="28"/>
          <w:u w:val="single"/>
        </w:rPr>
        <w:t>сектору державного геодезичного нагляду управління з контролю за використанням та охороною земель</w:t>
      </w:r>
    </w:p>
    <w:p w:rsidR="00B94F99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C07D3A" w:rsidRDefault="00C07D3A" w:rsidP="00B94F99">
      <w:pPr>
        <w:pStyle w:val="a8"/>
        <w:jc w:val="both"/>
      </w:pP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>Здійснює державний геодезичний нагляд за топографо – геодезичною і картографічною діяльністю</w:t>
      </w:r>
      <w:r w:rsidRPr="00C07D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07D3A">
        <w:rPr>
          <w:rFonts w:ascii="Times New Roman" w:hAnsi="Times New Roman"/>
          <w:color w:val="000000"/>
          <w:sz w:val="28"/>
          <w:szCs w:val="28"/>
        </w:rPr>
        <w:t xml:space="preserve">Надає пропозиції щодо погодження виконання робіт із знесення або </w:t>
      </w:r>
      <w:proofErr w:type="spellStart"/>
      <w:r w:rsidRPr="00C07D3A">
        <w:rPr>
          <w:rFonts w:ascii="Times New Roman" w:hAnsi="Times New Roman"/>
          <w:color w:val="000000"/>
          <w:sz w:val="28"/>
          <w:szCs w:val="28"/>
        </w:rPr>
        <w:t>перезакладки</w:t>
      </w:r>
      <w:proofErr w:type="spellEnd"/>
      <w:r w:rsidRPr="00C07D3A">
        <w:rPr>
          <w:rFonts w:ascii="Times New Roman" w:hAnsi="Times New Roman"/>
          <w:color w:val="000000"/>
          <w:sz w:val="28"/>
          <w:szCs w:val="28"/>
        </w:rPr>
        <w:t xml:space="preserve"> геодезичних пунктів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>Готує пропозиції щодо припинення відповідно до законодавства топографо-геодезичних та картографічних робіт, які проводяться з порушенням стандартів, інструкцій, норм і правил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>Бере участь в організації забезпечення дотримання режиму охорони геодезичних пунктів, аналізує їх стан збереження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>Бере участь у проведенні картографічного моніторингу території України, включаючи шельфову зону та населені пункти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 xml:space="preserve">Бере участь у розбудові інформаційної взаємодії держателів </w:t>
      </w:r>
      <w:proofErr w:type="spellStart"/>
      <w:r w:rsidRPr="00C07D3A">
        <w:rPr>
          <w:rFonts w:ascii="Times New Roman" w:hAnsi="Times New Roman"/>
          <w:sz w:val="28"/>
          <w:szCs w:val="28"/>
        </w:rPr>
        <w:t>геопросторових</w:t>
      </w:r>
      <w:proofErr w:type="spellEnd"/>
      <w:r w:rsidRPr="00C07D3A">
        <w:rPr>
          <w:rFonts w:ascii="Times New Roman" w:hAnsi="Times New Roman"/>
          <w:sz w:val="28"/>
          <w:szCs w:val="28"/>
        </w:rPr>
        <w:t xml:space="preserve"> даних та розвитку національної інфраструктури </w:t>
      </w:r>
      <w:proofErr w:type="spellStart"/>
      <w:r w:rsidRPr="00C07D3A">
        <w:rPr>
          <w:rFonts w:ascii="Times New Roman" w:hAnsi="Times New Roman"/>
          <w:sz w:val="28"/>
          <w:szCs w:val="28"/>
        </w:rPr>
        <w:t>геопросторових</w:t>
      </w:r>
      <w:proofErr w:type="spellEnd"/>
      <w:r w:rsidRPr="00C07D3A">
        <w:rPr>
          <w:rFonts w:ascii="Times New Roman" w:hAnsi="Times New Roman"/>
          <w:sz w:val="28"/>
          <w:szCs w:val="28"/>
        </w:rPr>
        <w:t xml:space="preserve"> даних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 xml:space="preserve">Бере участь у заходах із забезпечення функціонування та розвитку державної геодезичної мережі </w:t>
      </w:r>
    </w:p>
    <w:p w:rsidR="00C07D3A" w:rsidRPr="00C07D3A" w:rsidRDefault="00C07D3A" w:rsidP="00C07D3A">
      <w:pPr>
        <w:pStyle w:val="a8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07D3A">
        <w:rPr>
          <w:rFonts w:ascii="Times New Roman" w:hAnsi="Times New Roman"/>
          <w:sz w:val="28"/>
          <w:szCs w:val="28"/>
        </w:rPr>
        <w:t xml:space="preserve">Здійснює розгляд звернень громадян з питань, що належать до компетенції сектору державного геодезичного нагляду </w:t>
      </w:r>
    </w:p>
    <w:p w:rsidR="000F6680" w:rsidRPr="00C07D3A" w:rsidRDefault="000F6680" w:rsidP="00C07D3A">
      <w:pPr>
        <w:ind w:firstLine="360"/>
        <w:rPr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C07D3A">
        <w:rPr>
          <w:rFonts w:ascii="Times New Roman" w:hAnsi="Times New Roman" w:cs="Times New Roman"/>
          <w:sz w:val="28"/>
          <w:szCs w:val="28"/>
        </w:rPr>
        <w:t xml:space="preserve"> у земельній галузі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0F6680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державну політику щодо </w:t>
      </w:r>
      <w:r w:rsidR="00B94F99">
        <w:rPr>
          <w:rFonts w:ascii="Times New Roman" w:hAnsi="Times New Roman"/>
          <w:sz w:val="28"/>
          <w:szCs w:val="28"/>
        </w:rPr>
        <w:t>мобілізаційної роботи</w:t>
      </w:r>
      <w:r w:rsidR="00DF5C4C" w:rsidRPr="000F6680">
        <w:rPr>
          <w:rFonts w:ascii="Times New Roman" w:hAnsi="Times New Roman"/>
          <w:sz w:val="28"/>
          <w:szCs w:val="28"/>
        </w:rPr>
        <w:t>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07D3A">
        <w:rPr>
          <w:rFonts w:ascii="Times New Roman" w:hAnsi="Times New Roman" w:cs="Times New Roman"/>
          <w:sz w:val="28"/>
          <w:szCs w:val="28"/>
        </w:rPr>
        <w:t>13 366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DC4B6F" w:rsidRDefault="00DC4B6F" w:rsidP="00DC4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DC4B6F" w:rsidRDefault="00DC4B6F" w:rsidP="00DC4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DC4B6F" w:rsidRDefault="00DC4B6F" w:rsidP="00DC4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документ (документи) про освіту;</w:t>
      </w:r>
    </w:p>
    <w:p w:rsidR="00DC4B6F" w:rsidRDefault="00DC4B6F" w:rsidP="00DC4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8A150A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8A150A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2F0A3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617131D"/>
    <w:multiLevelType w:val="hybridMultilevel"/>
    <w:tmpl w:val="6BF2A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F6680"/>
    <w:rsid w:val="001F15CA"/>
    <w:rsid w:val="002F0A37"/>
    <w:rsid w:val="00365517"/>
    <w:rsid w:val="003C1CEF"/>
    <w:rsid w:val="003D6450"/>
    <w:rsid w:val="004457BA"/>
    <w:rsid w:val="00520B84"/>
    <w:rsid w:val="0065677F"/>
    <w:rsid w:val="006B5FAF"/>
    <w:rsid w:val="0073328D"/>
    <w:rsid w:val="00743985"/>
    <w:rsid w:val="007F56E2"/>
    <w:rsid w:val="0084740A"/>
    <w:rsid w:val="008955BC"/>
    <w:rsid w:val="008A150A"/>
    <w:rsid w:val="0094625A"/>
    <w:rsid w:val="00993AB7"/>
    <w:rsid w:val="00996592"/>
    <w:rsid w:val="009E392F"/>
    <w:rsid w:val="00B126E2"/>
    <w:rsid w:val="00B30C70"/>
    <w:rsid w:val="00B4449D"/>
    <w:rsid w:val="00B93873"/>
    <w:rsid w:val="00B94F99"/>
    <w:rsid w:val="00C07D3A"/>
    <w:rsid w:val="00D65F23"/>
    <w:rsid w:val="00DC42E8"/>
    <w:rsid w:val="00DC4B6F"/>
    <w:rsid w:val="00DF5C4C"/>
    <w:rsid w:val="00E869C2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174E6-26B8-4B1B-B1FC-010EB0E6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2025-09-30T09:46:00Z</dcterms:created>
  <dcterms:modified xsi:type="dcterms:W3CDTF">2025-09-30T09:46:00Z</dcterms:modified>
</cp:coreProperties>
</file>